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D1130" w14:textId="5AFBB453" w:rsidR="001B302F" w:rsidRPr="001B302F" w:rsidRDefault="001B302F" w:rsidP="001B302F">
      <w:pPr>
        <w:keepNext/>
        <w:pageBreakBefore/>
        <w:spacing w:before="0" w:after="200"/>
        <w:jc w:val="left"/>
        <w:rPr>
          <w:b/>
          <w:color w:val="002395"/>
        </w:rPr>
      </w:pPr>
      <w:bookmarkStart w:id="0" w:name="_Toc501702958"/>
      <w:bookmarkStart w:id="1" w:name="_Toc501703040"/>
      <w:bookmarkStart w:id="2" w:name="_Toc501703081"/>
      <w:bookmarkStart w:id="3" w:name="_Toc503960303"/>
      <w:bookmarkStart w:id="4" w:name="_Toc501702909"/>
      <w:bookmarkStart w:id="5" w:name="_Toc501702999"/>
      <w:bookmarkStart w:id="6" w:name="_Toc504139413"/>
      <w:bookmarkStart w:id="7" w:name="_Toc505282975"/>
      <w:bookmarkStart w:id="8" w:name="_Toc505283019"/>
      <w:bookmarkStart w:id="9" w:name="_Toc505283097"/>
      <w:bookmarkStart w:id="10" w:name="_Toc505283136"/>
      <w:bookmarkStart w:id="11" w:name="_Toc505343735"/>
      <w:bookmarkStart w:id="12" w:name="_Toc505343813"/>
      <w:bookmarkStart w:id="13" w:name="_Toc505343852"/>
      <w:bookmarkStart w:id="14" w:name="_Toc505351100"/>
      <w:bookmarkStart w:id="15" w:name="_Toc507065920"/>
      <w:bookmarkStart w:id="16" w:name="_Toc507065965"/>
      <w:bookmarkStart w:id="17" w:name="_Toc507066005"/>
      <w:bookmarkStart w:id="18" w:name="_Toc507066045"/>
      <w:bookmarkStart w:id="19" w:name="_Toc507066085"/>
      <w:bookmarkStart w:id="20" w:name="_Ref501702708"/>
      <w:r w:rsidRPr="001B302F">
        <w:rPr>
          <w:b/>
          <w:color w:val="002395"/>
        </w:rPr>
        <w:t>Tool</w:t>
      </w:r>
      <w:r w:rsidR="00662D70">
        <w:rPr>
          <w:b/>
          <w:color w:val="002395"/>
        </w:rPr>
        <w:t xml:space="preserve"> 13</w:t>
      </w:r>
      <w:r w:rsidRPr="001B302F">
        <w:rPr>
          <w:b/>
          <w:color w:val="002395"/>
        </w:rPr>
        <w:t xml:space="preserve">: </w:t>
      </w:r>
      <w:hyperlink w:anchor="Tool11_15" w:history="1">
        <w:r w:rsidRPr="001B302F">
          <w:rPr>
            <w:b/>
            <w:color w:val="002395"/>
          </w:rPr>
          <w:t>Checklist: Specify the content of Emergency Care collaboration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hyperlink>
      <w:bookmarkEnd w:id="20"/>
    </w:p>
    <w:p w14:paraId="04A9361C" w14:textId="77777777" w:rsidR="001B302F" w:rsidRPr="001B302F" w:rsidRDefault="001B302F" w:rsidP="001B302F">
      <w:r w:rsidRPr="001B302F">
        <w:t xml:space="preserve">The questions and topics in this checklist are designed to help the project partners set up a cross-border collaboration project in the field of </w:t>
      </w:r>
      <w:r w:rsidRPr="001B302F">
        <w:rPr>
          <w:i/>
        </w:rPr>
        <w:t>Emergency Care</w:t>
      </w:r>
      <w:r w:rsidRPr="001B302F">
        <w:t>. Using this checklist should help to draw their attention to specific issues related to the scope of collaboration, project stakeholders and partners, the project’s target group, organisational and legal issues, and financing.</w:t>
      </w:r>
    </w:p>
    <w:p w14:paraId="6A8D7137" w14:textId="77777777" w:rsidR="001B302F" w:rsidRPr="001B302F" w:rsidRDefault="001B302F" w:rsidP="001B302F">
      <w:pPr>
        <w:keepNext/>
        <w:spacing w:before="120"/>
      </w:pPr>
      <w:r w:rsidRPr="001B302F">
        <w:t>Please go through the list and put a cross in the relevant field (‘yes’, ‘no’) if you have considered the criterion. Comments (e.g. reasons for non-consideration) can be entered separately.</w:t>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59"/>
        <w:gridCol w:w="6206"/>
        <w:gridCol w:w="851"/>
        <w:gridCol w:w="998"/>
        <w:gridCol w:w="5205"/>
      </w:tblGrid>
      <w:tr w:rsidR="001B302F" w:rsidRPr="001B302F" w14:paraId="7DA23270" w14:textId="77777777" w:rsidTr="000250A6">
        <w:tc>
          <w:tcPr>
            <w:tcW w:w="402" w:type="pct"/>
            <w:vMerge w:val="restart"/>
            <w:shd w:val="clear" w:color="auto" w:fill="002395"/>
            <w:vAlign w:val="center"/>
          </w:tcPr>
          <w:p w14:paraId="4F3D28CA" w14:textId="77777777" w:rsidR="001B302F" w:rsidRPr="001B302F" w:rsidRDefault="001B302F" w:rsidP="001B302F">
            <w:pPr>
              <w:keepNext/>
              <w:keepLines/>
              <w:spacing w:before="0"/>
              <w:jc w:val="left"/>
              <w:rPr>
                <w:color w:val="FFFFFF"/>
                <w:sz w:val="18"/>
                <w:szCs w:val="18"/>
              </w:rPr>
            </w:pPr>
            <w:r w:rsidRPr="001B302F">
              <w:rPr>
                <w:color w:val="FFFFFF"/>
                <w:sz w:val="18"/>
                <w:szCs w:val="18"/>
              </w:rPr>
              <w:t>Topic</w:t>
            </w:r>
          </w:p>
        </w:tc>
        <w:tc>
          <w:tcPr>
            <w:tcW w:w="2152" w:type="pct"/>
            <w:vMerge w:val="restart"/>
            <w:shd w:val="clear" w:color="auto" w:fill="002395"/>
            <w:vAlign w:val="center"/>
          </w:tcPr>
          <w:p w14:paraId="7852B71B" w14:textId="77777777" w:rsidR="001B302F" w:rsidRPr="001B302F" w:rsidRDefault="001B302F" w:rsidP="001B302F">
            <w:pPr>
              <w:keepNext/>
              <w:keepLines/>
              <w:spacing w:before="0"/>
              <w:jc w:val="left"/>
              <w:rPr>
                <w:color w:val="FFFFFF"/>
                <w:sz w:val="17"/>
                <w:szCs w:val="17"/>
              </w:rPr>
            </w:pPr>
            <w:r w:rsidRPr="001B302F">
              <w:rPr>
                <w:color w:val="FFFFFF"/>
                <w:sz w:val="17"/>
                <w:szCs w:val="17"/>
              </w:rPr>
              <w:t>Criteria</w:t>
            </w:r>
          </w:p>
        </w:tc>
        <w:tc>
          <w:tcPr>
            <w:tcW w:w="641" w:type="pct"/>
            <w:gridSpan w:val="2"/>
            <w:shd w:val="clear" w:color="auto" w:fill="002395"/>
            <w:vAlign w:val="center"/>
          </w:tcPr>
          <w:p w14:paraId="18476BF7" w14:textId="77777777" w:rsidR="001B302F" w:rsidRPr="001B302F" w:rsidRDefault="001B302F" w:rsidP="001B302F">
            <w:pPr>
              <w:spacing w:before="0"/>
              <w:jc w:val="left"/>
              <w:rPr>
                <w:color w:val="FFFFFF"/>
                <w:sz w:val="17"/>
                <w:szCs w:val="17"/>
              </w:rPr>
            </w:pPr>
            <w:r w:rsidRPr="001B302F">
              <w:rPr>
                <w:color w:val="FFFFFF"/>
                <w:sz w:val="17"/>
                <w:szCs w:val="17"/>
              </w:rPr>
              <w:t>To be considered</w:t>
            </w:r>
          </w:p>
        </w:tc>
        <w:tc>
          <w:tcPr>
            <w:tcW w:w="1805" w:type="pct"/>
            <w:vMerge w:val="restart"/>
            <w:shd w:val="clear" w:color="auto" w:fill="002395"/>
            <w:vAlign w:val="center"/>
          </w:tcPr>
          <w:p w14:paraId="07059E9A" w14:textId="77777777" w:rsidR="001B302F" w:rsidRPr="001B302F" w:rsidRDefault="001B302F" w:rsidP="001B302F">
            <w:pPr>
              <w:keepNext/>
              <w:keepLines/>
              <w:spacing w:before="0"/>
              <w:jc w:val="left"/>
              <w:rPr>
                <w:color w:val="FFFFFF"/>
                <w:sz w:val="17"/>
                <w:szCs w:val="17"/>
              </w:rPr>
            </w:pPr>
            <w:r w:rsidRPr="001B302F">
              <w:rPr>
                <w:color w:val="FFFFFF"/>
                <w:sz w:val="17"/>
                <w:szCs w:val="17"/>
              </w:rPr>
              <w:t>Comments</w:t>
            </w:r>
          </w:p>
        </w:tc>
      </w:tr>
      <w:tr w:rsidR="001B302F" w:rsidRPr="001B302F" w14:paraId="1BBC5983" w14:textId="77777777" w:rsidTr="000250A6">
        <w:tc>
          <w:tcPr>
            <w:tcW w:w="402" w:type="pct"/>
            <w:vMerge/>
            <w:shd w:val="clear" w:color="auto" w:fill="002395"/>
          </w:tcPr>
          <w:p w14:paraId="5275F13E" w14:textId="77777777" w:rsidR="001B302F" w:rsidRPr="001B302F" w:rsidRDefault="001B302F" w:rsidP="001B302F">
            <w:pPr>
              <w:spacing w:before="0"/>
              <w:jc w:val="left"/>
              <w:rPr>
                <w:color w:val="FFFFFF"/>
                <w:sz w:val="18"/>
                <w:szCs w:val="18"/>
              </w:rPr>
            </w:pPr>
          </w:p>
        </w:tc>
        <w:tc>
          <w:tcPr>
            <w:tcW w:w="2152" w:type="pct"/>
            <w:vMerge/>
            <w:tcBorders>
              <w:bottom w:val="single" w:sz="4" w:space="0" w:color="FFFFFF"/>
            </w:tcBorders>
            <w:shd w:val="clear" w:color="auto" w:fill="002395"/>
          </w:tcPr>
          <w:p w14:paraId="11B4A96C" w14:textId="77777777" w:rsidR="001B302F" w:rsidRPr="001B302F" w:rsidRDefault="001B302F" w:rsidP="001B302F">
            <w:pPr>
              <w:spacing w:before="0"/>
              <w:jc w:val="left"/>
              <w:rPr>
                <w:color w:val="FFFFFF"/>
                <w:sz w:val="17"/>
                <w:szCs w:val="17"/>
              </w:rPr>
            </w:pPr>
          </w:p>
        </w:tc>
        <w:tc>
          <w:tcPr>
            <w:tcW w:w="295" w:type="pct"/>
            <w:tcBorders>
              <w:bottom w:val="single" w:sz="4" w:space="0" w:color="FFFFFF"/>
            </w:tcBorders>
            <w:shd w:val="clear" w:color="auto" w:fill="002395"/>
          </w:tcPr>
          <w:p w14:paraId="5AD45C2A" w14:textId="77777777" w:rsidR="001B302F" w:rsidRPr="001B302F" w:rsidRDefault="001B302F" w:rsidP="001B302F">
            <w:pPr>
              <w:spacing w:before="0"/>
              <w:jc w:val="left"/>
              <w:rPr>
                <w:color w:val="FFFFFF"/>
                <w:sz w:val="17"/>
                <w:szCs w:val="17"/>
              </w:rPr>
            </w:pPr>
            <w:r w:rsidRPr="001B302F">
              <w:rPr>
                <w:color w:val="FFFFFF"/>
                <w:sz w:val="17"/>
                <w:szCs w:val="17"/>
              </w:rPr>
              <w:t>Yes</w:t>
            </w:r>
          </w:p>
        </w:tc>
        <w:tc>
          <w:tcPr>
            <w:tcW w:w="346" w:type="pct"/>
            <w:tcBorders>
              <w:bottom w:val="single" w:sz="4" w:space="0" w:color="FFFFFF"/>
            </w:tcBorders>
            <w:shd w:val="clear" w:color="auto" w:fill="002395"/>
          </w:tcPr>
          <w:p w14:paraId="1FE09F7C" w14:textId="77777777" w:rsidR="001B302F" w:rsidRPr="001B302F" w:rsidRDefault="001B302F" w:rsidP="001B302F">
            <w:pPr>
              <w:spacing w:before="0"/>
              <w:jc w:val="left"/>
              <w:rPr>
                <w:color w:val="FFFFFF"/>
                <w:sz w:val="17"/>
                <w:szCs w:val="17"/>
              </w:rPr>
            </w:pPr>
            <w:r w:rsidRPr="001B302F">
              <w:rPr>
                <w:color w:val="FFFFFF"/>
                <w:sz w:val="17"/>
                <w:szCs w:val="17"/>
              </w:rPr>
              <w:t>No</w:t>
            </w:r>
          </w:p>
        </w:tc>
        <w:tc>
          <w:tcPr>
            <w:tcW w:w="1805" w:type="pct"/>
            <w:vMerge/>
            <w:tcBorders>
              <w:bottom w:val="single" w:sz="4" w:space="0" w:color="FFFFFF"/>
            </w:tcBorders>
            <w:shd w:val="clear" w:color="auto" w:fill="002395"/>
          </w:tcPr>
          <w:p w14:paraId="075324ED" w14:textId="77777777" w:rsidR="001B302F" w:rsidRPr="001B302F" w:rsidRDefault="001B302F" w:rsidP="001B302F">
            <w:pPr>
              <w:spacing w:before="0"/>
              <w:jc w:val="left"/>
              <w:rPr>
                <w:color w:val="FFFFFF"/>
                <w:sz w:val="17"/>
                <w:szCs w:val="17"/>
              </w:rPr>
            </w:pPr>
          </w:p>
        </w:tc>
      </w:tr>
      <w:tr w:rsidR="001B302F" w:rsidRPr="001B302F" w14:paraId="08F32C74" w14:textId="77777777" w:rsidTr="000250A6">
        <w:tc>
          <w:tcPr>
            <w:tcW w:w="402" w:type="pct"/>
            <w:vMerge w:val="restart"/>
            <w:shd w:val="clear" w:color="auto" w:fill="002395"/>
            <w:textDirection w:val="btLr"/>
            <w:vAlign w:val="center"/>
          </w:tcPr>
          <w:p w14:paraId="23C2C006" w14:textId="77777777" w:rsidR="001B302F" w:rsidRPr="001B302F" w:rsidRDefault="001B302F" w:rsidP="001B302F">
            <w:pPr>
              <w:spacing w:before="0"/>
              <w:jc w:val="center"/>
              <w:rPr>
                <w:color w:val="FFFFFF"/>
                <w:sz w:val="18"/>
                <w:szCs w:val="18"/>
              </w:rPr>
            </w:pPr>
            <w:r w:rsidRPr="001B302F">
              <w:rPr>
                <w:color w:val="FFFFFF"/>
                <w:sz w:val="18"/>
                <w:szCs w:val="18"/>
              </w:rPr>
              <w:t>Scope</w:t>
            </w:r>
          </w:p>
        </w:tc>
        <w:tc>
          <w:tcPr>
            <w:tcW w:w="2152" w:type="pct"/>
            <w:tcBorders>
              <w:bottom w:val="single" w:sz="4" w:space="0" w:color="auto"/>
              <w:right w:val="single" w:sz="4" w:space="0" w:color="auto"/>
            </w:tcBorders>
            <w:shd w:val="clear" w:color="auto" w:fill="F2F2F2"/>
          </w:tcPr>
          <w:p w14:paraId="014D59F6" w14:textId="77777777" w:rsidR="001B302F" w:rsidRPr="001B302F" w:rsidRDefault="001B302F" w:rsidP="001B302F">
            <w:pPr>
              <w:numPr>
                <w:ilvl w:val="0"/>
                <w:numId w:val="1"/>
              </w:numPr>
              <w:tabs>
                <w:tab w:val="left" w:pos="357"/>
              </w:tabs>
              <w:spacing w:before="0"/>
              <w:ind w:left="357" w:hanging="357"/>
              <w:contextualSpacing/>
              <w:rPr>
                <w:sz w:val="17"/>
                <w:szCs w:val="17"/>
              </w:rPr>
            </w:pPr>
            <w:r w:rsidRPr="001B302F">
              <w:rPr>
                <w:b/>
                <w:sz w:val="17"/>
                <w:szCs w:val="17"/>
              </w:rPr>
              <w:t>Purchasing of infrastructure</w:t>
            </w:r>
            <w:r w:rsidRPr="001B302F">
              <w:rPr>
                <w:sz w:val="17"/>
                <w:szCs w:val="17"/>
              </w:rPr>
              <w:t xml:space="preserve"> (shared funding/individual procurement) </w:t>
            </w:r>
          </w:p>
          <w:p w14:paraId="0F80D330" w14:textId="77777777" w:rsidR="001B302F" w:rsidRPr="001B302F" w:rsidRDefault="001B302F" w:rsidP="001B302F">
            <w:pPr>
              <w:numPr>
                <w:ilvl w:val="0"/>
                <w:numId w:val="1"/>
              </w:numPr>
              <w:tabs>
                <w:tab w:val="left" w:pos="357"/>
              </w:tabs>
              <w:spacing w:before="0"/>
              <w:ind w:left="357" w:hanging="357"/>
              <w:contextualSpacing/>
              <w:rPr>
                <w:sz w:val="17"/>
                <w:szCs w:val="17"/>
              </w:rPr>
            </w:pPr>
            <w:r w:rsidRPr="001B302F">
              <w:rPr>
                <w:b/>
                <w:sz w:val="17"/>
                <w:szCs w:val="17"/>
              </w:rPr>
              <w:t>Sharing of infrastructure</w:t>
            </w:r>
            <w:r w:rsidRPr="001B302F">
              <w:rPr>
                <w:sz w:val="17"/>
                <w:szCs w:val="17"/>
              </w:rPr>
              <w:t xml:space="preserve">, involving high-cost capital investment </w:t>
            </w:r>
          </w:p>
          <w:p w14:paraId="5C32A158" w14:textId="77777777" w:rsidR="001B302F" w:rsidRPr="001B302F" w:rsidRDefault="001B302F" w:rsidP="001B302F">
            <w:pPr>
              <w:spacing w:before="0"/>
              <w:jc w:val="left"/>
              <w:rPr>
                <w:i/>
                <w:color w:val="auto"/>
                <w:sz w:val="17"/>
                <w:szCs w:val="17"/>
              </w:rPr>
            </w:pPr>
            <w:r w:rsidRPr="001B302F">
              <w:rPr>
                <w:i/>
                <w:color w:val="auto"/>
                <w:sz w:val="17"/>
                <w:szCs w:val="17"/>
              </w:rPr>
              <w:t xml:space="preserve">ambulance cars, coronary angiography centre, trauma surgery department etc. </w:t>
            </w:r>
          </w:p>
        </w:tc>
        <w:tc>
          <w:tcPr>
            <w:tcW w:w="295" w:type="pct"/>
            <w:tcBorders>
              <w:left w:val="single" w:sz="4" w:space="0" w:color="auto"/>
              <w:bottom w:val="single" w:sz="4" w:space="0" w:color="auto"/>
              <w:right w:val="single" w:sz="4" w:space="0" w:color="auto"/>
            </w:tcBorders>
            <w:shd w:val="clear" w:color="auto" w:fill="F2F2F2"/>
          </w:tcPr>
          <w:p w14:paraId="1D648832" w14:textId="77777777" w:rsidR="001B302F" w:rsidRPr="001B302F" w:rsidRDefault="001B302F" w:rsidP="001B302F">
            <w:pPr>
              <w:spacing w:before="0"/>
              <w:jc w:val="left"/>
              <w:rPr>
                <w:color w:val="auto"/>
                <w:sz w:val="17"/>
                <w:szCs w:val="17"/>
              </w:rPr>
            </w:pPr>
          </w:p>
        </w:tc>
        <w:tc>
          <w:tcPr>
            <w:tcW w:w="346" w:type="pct"/>
            <w:tcBorders>
              <w:left w:val="single" w:sz="4" w:space="0" w:color="auto"/>
              <w:bottom w:val="single" w:sz="4" w:space="0" w:color="auto"/>
              <w:right w:val="single" w:sz="4" w:space="0" w:color="auto"/>
            </w:tcBorders>
            <w:shd w:val="clear" w:color="auto" w:fill="F2F2F2"/>
          </w:tcPr>
          <w:p w14:paraId="34C9B271" w14:textId="77777777" w:rsidR="001B302F" w:rsidRPr="001B302F" w:rsidRDefault="001B302F" w:rsidP="001B302F">
            <w:pPr>
              <w:spacing w:before="0"/>
              <w:jc w:val="left"/>
              <w:rPr>
                <w:color w:val="auto"/>
                <w:sz w:val="17"/>
                <w:szCs w:val="17"/>
              </w:rPr>
            </w:pPr>
          </w:p>
        </w:tc>
        <w:tc>
          <w:tcPr>
            <w:tcW w:w="1805" w:type="pct"/>
            <w:tcBorders>
              <w:left w:val="single" w:sz="4" w:space="0" w:color="auto"/>
              <w:bottom w:val="single" w:sz="4" w:space="0" w:color="auto"/>
            </w:tcBorders>
            <w:shd w:val="clear" w:color="auto" w:fill="F2F2F2"/>
          </w:tcPr>
          <w:p w14:paraId="38CF6F72" w14:textId="77777777" w:rsidR="001B302F" w:rsidRPr="001B302F" w:rsidRDefault="001B302F" w:rsidP="001B302F">
            <w:pPr>
              <w:spacing w:before="0"/>
              <w:jc w:val="left"/>
              <w:rPr>
                <w:color w:val="auto"/>
                <w:sz w:val="17"/>
                <w:szCs w:val="17"/>
              </w:rPr>
            </w:pPr>
          </w:p>
        </w:tc>
      </w:tr>
      <w:tr w:rsidR="001B302F" w:rsidRPr="001B302F" w14:paraId="073643CC" w14:textId="77777777" w:rsidTr="000250A6">
        <w:tc>
          <w:tcPr>
            <w:tcW w:w="402" w:type="pct"/>
            <w:vMerge/>
            <w:shd w:val="clear" w:color="auto" w:fill="002395"/>
          </w:tcPr>
          <w:p w14:paraId="73FD0EEB"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4E3230BA" w14:textId="77777777" w:rsidR="001B302F" w:rsidRPr="001B302F" w:rsidRDefault="001B302F" w:rsidP="001B302F">
            <w:pPr>
              <w:numPr>
                <w:ilvl w:val="0"/>
                <w:numId w:val="1"/>
              </w:numPr>
              <w:tabs>
                <w:tab w:val="left" w:pos="357"/>
              </w:tabs>
              <w:spacing w:before="0"/>
              <w:ind w:left="357" w:hanging="357"/>
              <w:contextualSpacing/>
              <w:rPr>
                <w:sz w:val="17"/>
                <w:szCs w:val="17"/>
              </w:rPr>
            </w:pPr>
            <w:r w:rsidRPr="001B302F">
              <w:rPr>
                <w:b/>
                <w:sz w:val="17"/>
                <w:szCs w:val="17"/>
              </w:rPr>
              <w:t>Conducting</w:t>
            </w:r>
            <w:r w:rsidRPr="001B302F">
              <w:rPr>
                <w:sz w:val="17"/>
                <w:szCs w:val="17"/>
              </w:rPr>
              <w:t xml:space="preserve"> joint </w:t>
            </w:r>
            <w:r w:rsidRPr="001B302F">
              <w:rPr>
                <w:b/>
                <w:sz w:val="17"/>
                <w:szCs w:val="17"/>
              </w:rPr>
              <w:t>emergency service exercises</w:t>
            </w:r>
            <w:r w:rsidRPr="001B302F">
              <w:rPr>
                <w:sz w:val="17"/>
                <w:szCs w:val="17"/>
              </w:rPr>
              <w:t xml:space="preserve"> (to ensure a proper response in the case of catastrophe)</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6842403"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46667C21"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64B4CD56" w14:textId="77777777" w:rsidR="001B302F" w:rsidRPr="001B302F" w:rsidRDefault="001B302F" w:rsidP="001B302F">
            <w:pPr>
              <w:spacing w:before="0"/>
              <w:jc w:val="left"/>
              <w:rPr>
                <w:color w:val="auto"/>
                <w:sz w:val="17"/>
                <w:szCs w:val="17"/>
              </w:rPr>
            </w:pPr>
          </w:p>
        </w:tc>
      </w:tr>
      <w:tr w:rsidR="001B302F" w:rsidRPr="001B302F" w14:paraId="3CCDBC90" w14:textId="77777777" w:rsidTr="000250A6">
        <w:tc>
          <w:tcPr>
            <w:tcW w:w="402" w:type="pct"/>
            <w:vMerge/>
            <w:shd w:val="clear" w:color="auto" w:fill="002395"/>
          </w:tcPr>
          <w:p w14:paraId="47D39DA2"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1C53365B" w14:textId="77777777" w:rsidR="001B302F" w:rsidRPr="001B302F" w:rsidRDefault="001B302F" w:rsidP="001B302F">
            <w:pPr>
              <w:spacing w:before="0"/>
              <w:jc w:val="left"/>
              <w:rPr>
                <w:color w:val="auto"/>
                <w:sz w:val="17"/>
                <w:szCs w:val="17"/>
              </w:rPr>
            </w:pPr>
            <w:r w:rsidRPr="001B302F">
              <w:rPr>
                <w:b/>
                <w:color w:val="auto"/>
                <w:sz w:val="17"/>
                <w:szCs w:val="17"/>
              </w:rPr>
              <w:t>Sharing of staff</w:t>
            </w:r>
            <w:r w:rsidRPr="001B302F">
              <w:rPr>
                <w:color w:val="auto"/>
                <w:sz w:val="17"/>
                <w:szCs w:val="17"/>
              </w:rPr>
              <w:t xml:space="preserve"> (e.g. in joint departments), see also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3F59071E"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5572DD5E"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32A34653" w14:textId="77777777" w:rsidR="001B302F" w:rsidRPr="001B302F" w:rsidRDefault="001B302F" w:rsidP="001B302F">
            <w:pPr>
              <w:spacing w:before="0"/>
              <w:jc w:val="left"/>
              <w:rPr>
                <w:color w:val="auto"/>
                <w:sz w:val="17"/>
                <w:szCs w:val="17"/>
              </w:rPr>
            </w:pPr>
          </w:p>
        </w:tc>
      </w:tr>
      <w:tr w:rsidR="001B302F" w:rsidRPr="001B302F" w14:paraId="65A02BC0" w14:textId="77777777" w:rsidTr="000250A6">
        <w:tc>
          <w:tcPr>
            <w:tcW w:w="402" w:type="pct"/>
            <w:vMerge/>
            <w:shd w:val="clear" w:color="auto" w:fill="002395"/>
          </w:tcPr>
          <w:p w14:paraId="3BC7B50F"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7779C4A2" w14:textId="77777777" w:rsidR="001B302F" w:rsidRPr="001B302F" w:rsidRDefault="001B302F" w:rsidP="001B302F">
            <w:pPr>
              <w:spacing w:before="0"/>
              <w:jc w:val="left"/>
              <w:rPr>
                <w:color w:val="auto"/>
                <w:sz w:val="17"/>
                <w:szCs w:val="17"/>
              </w:rPr>
            </w:pPr>
            <w:r w:rsidRPr="001B302F">
              <w:rPr>
                <w:b/>
                <w:color w:val="auto"/>
                <w:sz w:val="17"/>
                <w:szCs w:val="17"/>
              </w:rPr>
              <w:t>ICT/telemedicine</w:t>
            </w:r>
            <w:r w:rsidRPr="001B302F">
              <w:rPr>
                <w:color w:val="auto"/>
                <w:sz w:val="17"/>
                <w:szCs w:val="17"/>
              </w:rPr>
              <w:t xml:space="preserve"> for sharing important information and ensuring communication in the case of a catastrophe </w:t>
            </w:r>
          </w:p>
          <w:p w14:paraId="15795FEF" w14:textId="77777777" w:rsidR="001B302F" w:rsidRPr="001B302F" w:rsidRDefault="001B302F" w:rsidP="001B302F">
            <w:pPr>
              <w:numPr>
                <w:ilvl w:val="0"/>
                <w:numId w:val="1"/>
              </w:numPr>
              <w:tabs>
                <w:tab w:val="left" w:pos="357"/>
              </w:tabs>
              <w:spacing w:before="120"/>
              <w:contextualSpacing/>
              <w:rPr>
                <w:sz w:val="17"/>
                <w:szCs w:val="17"/>
              </w:rPr>
            </w:pPr>
            <w:r w:rsidRPr="001B302F">
              <w:rPr>
                <w:sz w:val="17"/>
                <w:szCs w:val="17"/>
              </w:rPr>
              <w:t>also quicker sharing of relevant patient data</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6C6208A5"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07F2A452"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0296935E" w14:textId="77777777" w:rsidR="001B302F" w:rsidRPr="001B302F" w:rsidRDefault="001B302F" w:rsidP="001B302F">
            <w:pPr>
              <w:spacing w:before="0"/>
              <w:jc w:val="left"/>
              <w:rPr>
                <w:color w:val="auto"/>
                <w:sz w:val="17"/>
                <w:szCs w:val="17"/>
              </w:rPr>
            </w:pPr>
          </w:p>
        </w:tc>
      </w:tr>
      <w:tr w:rsidR="001B302F" w:rsidRPr="001B302F" w14:paraId="0212874C" w14:textId="77777777" w:rsidTr="000250A6">
        <w:tc>
          <w:tcPr>
            <w:tcW w:w="402" w:type="pct"/>
            <w:shd w:val="clear" w:color="auto" w:fill="002395"/>
            <w:textDirection w:val="btLr"/>
            <w:vAlign w:val="center"/>
          </w:tcPr>
          <w:p w14:paraId="4CBB6434" w14:textId="77777777" w:rsidR="001B302F" w:rsidRPr="001B302F" w:rsidRDefault="001B302F" w:rsidP="001B302F">
            <w:pPr>
              <w:spacing w:before="0"/>
              <w:jc w:val="center"/>
              <w:rPr>
                <w:color w:val="FFFFFF"/>
                <w:sz w:val="18"/>
                <w:szCs w:val="18"/>
              </w:rPr>
            </w:pPr>
            <w:r w:rsidRPr="001B302F">
              <w:rPr>
                <w:color w:val="FFFFFF"/>
                <w:sz w:val="18"/>
                <w:szCs w:val="18"/>
              </w:rPr>
              <w:t>Stakeholder/project partner</w:t>
            </w:r>
          </w:p>
        </w:tc>
        <w:tc>
          <w:tcPr>
            <w:tcW w:w="2152" w:type="pct"/>
            <w:tcBorders>
              <w:top w:val="single" w:sz="4" w:space="0" w:color="auto"/>
              <w:bottom w:val="single" w:sz="4" w:space="0" w:color="auto"/>
              <w:right w:val="single" w:sz="4" w:space="0" w:color="auto"/>
            </w:tcBorders>
            <w:shd w:val="clear" w:color="auto" w:fill="F2F2F2"/>
          </w:tcPr>
          <w:p w14:paraId="4C000E9C" w14:textId="77777777" w:rsidR="001B302F" w:rsidRPr="001B302F" w:rsidRDefault="001B302F" w:rsidP="001B302F">
            <w:pPr>
              <w:numPr>
                <w:ilvl w:val="0"/>
                <w:numId w:val="1"/>
              </w:numPr>
              <w:tabs>
                <w:tab w:val="left" w:pos="357"/>
              </w:tabs>
              <w:spacing w:before="120"/>
              <w:contextualSpacing/>
              <w:rPr>
                <w:sz w:val="17"/>
                <w:szCs w:val="17"/>
              </w:rPr>
            </w:pPr>
            <w:r w:rsidRPr="001B302F">
              <w:rPr>
                <w:sz w:val="17"/>
                <w:szCs w:val="17"/>
              </w:rPr>
              <w:t xml:space="preserve">Who needs to be addressed at the project partner and stakeholder level? </w:t>
            </w:r>
          </w:p>
          <w:p w14:paraId="393D49D8" w14:textId="77777777" w:rsidR="001B302F" w:rsidRPr="001B302F" w:rsidRDefault="001B302F" w:rsidP="001B302F">
            <w:pPr>
              <w:numPr>
                <w:ilvl w:val="0"/>
                <w:numId w:val="1"/>
              </w:numPr>
              <w:tabs>
                <w:tab w:val="left" w:pos="357"/>
              </w:tabs>
              <w:spacing w:before="120"/>
              <w:contextualSpacing/>
              <w:rPr>
                <w:b/>
                <w:sz w:val="17"/>
                <w:szCs w:val="17"/>
              </w:rPr>
            </w:pPr>
            <w:r w:rsidRPr="001B302F">
              <w:rPr>
                <w:sz w:val="17"/>
                <w:szCs w:val="17"/>
              </w:rPr>
              <w:t xml:space="preserve">Who are the specific stakeholders or potential project partners related to this topic? </w:t>
            </w:r>
          </w:p>
          <w:p w14:paraId="7F46AEC5" w14:textId="77777777" w:rsidR="001B302F" w:rsidRPr="001B302F" w:rsidRDefault="001B302F" w:rsidP="001B302F">
            <w:pPr>
              <w:tabs>
                <w:tab w:val="left" w:pos="357"/>
              </w:tabs>
              <w:spacing w:before="120"/>
              <w:contextualSpacing/>
              <w:rPr>
                <w:i/>
                <w:sz w:val="17"/>
                <w:szCs w:val="17"/>
              </w:rPr>
            </w:pPr>
            <w:r w:rsidRPr="001B302F">
              <w:rPr>
                <w:i/>
                <w:sz w:val="17"/>
                <w:szCs w:val="17"/>
              </w:rPr>
              <w:t>Emergency medical service, emergency physicians, provider of Mobile Intensive Care Units (MICUs) or Critical Care Transport, ambulance service, provider organisations in the border region etc.</w:t>
            </w:r>
          </w:p>
          <w:p w14:paraId="55ABAA76" w14:textId="77777777" w:rsidR="001B302F" w:rsidRPr="001B302F" w:rsidRDefault="001B302F" w:rsidP="001B302F"/>
        </w:tc>
        <w:tc>
          <w:tcPr>
            <w:tcW w:w="295" w:type="pct"/>
            <w:tcBorders>
              <w:top w:val="single" w:sz="4" w:space="0" w:color="auto"/>
              <w:left w:val="single" w:sz="4" w:space="0" w:color="auto"/>
              <w:bottom w:val="single" w:sz="4" w:space="0" w:color="auto"/>
              <w:right w:val="single" w:sz="4" w:space="0" w:color="auto"/>
            </w:tcBorders>
            <w:shd w:val="clear" w:color="auto" w:fill="F2F2F2"/>
          </w:tcPr>
          <w:p w14:paraId="35B7441D"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52BCDECE"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32BC6F9C" w14:textId="77777777" w:rsidR="001B302F" w:rsidRPr="001B302F" w:rsidRDefault="001B302F" w:rsidP="001B302F">
            <w:pPr>
              <w:spacing w:before="0"/>
              <w:jc w:val="left"/>
              <w:rPr>
                <w:color w:val="auto"/>
                <w:sz w:val="17"/>
                <w:szCs w:val="17"/>
              </w:rPr>
            </w:pPr>
          </w:p>
        </w:tc>
      </w:tr>
      <w:tr w:rsidR="001B302F" w:rsidRPr="001B302F" w14:paraId="186E6BD2" w14:textId="77777777" w:rsidTr="000250A6">
        <w:tc>
          <w:tcPr>
            <w:tcW w:w="402" w:type="pct"/>
            <w:shd w:val="clear" w:color="auto" w:fill="002395"/>
            <w:textDirection w:val="btLr"/>
            <w:vAlign w:val="center"/>
          </w:tcPr>
          <w:p w14:paraId="1BDD1700" w14:textId="77777777" w:rsidR="001B302F" w:rsidRPr="001B302F" w:rsidRDefault="001B302F" w:rsidP="001B302F">
            <w:pPr>
              <w:spacing w:before="0"/>
              <w:jc w:val="center"/>
              <w:rPr>
                <w:color w:val="FFFFFF"/>
                <w:sz w:val="18"/>
                <w:szCs w:val="18"/>
              </w:rPr>
            </w:pPr>
            <w:r w:rsidRPr="001B302F">
              <w:rPr>
                <w:color w:val="FFFFFF"/>
                <w:sz w:val="18"/>
                <w:szCs w:val="18"/>
              </w:rPr>
              <w:t>Target group</w:t>
            </w:r>
          </w:p>
        </w:tc>
        <w:tc>
          <w:tcPr>
            <w:tcW w:w="2152" w:type="pct"/>
            <w:tcBorders>
              <w:top w:val="single" w:sz="4" w:space="0" w:color="auto"/>
              <w:bottom w:val="single" w:sz="4" w:space="0" w:color="auto"/>
              <w:right w:val="single" w:sz="4" w:space="0" w:color="auto"/>
            </w:tcBorders>
            <w:shd w:val="clear" w:color="auto" w:fill="F2F2F2"/>
          </w:tcPr>
          <w:p w14:paraId="0BC80ACF" w14:textId="77777777" w:rsidR="001B302F" w:rsidRPr="001B302F" w:rsidRDefault="001B302F" w:rsidP="001B302F">
            <w:pPr>
              <w:spacing w:before="0"/>
              <w:jc w:val="left"/>
              <w:rPr>
                <w:color w:val="auto"/>
                <w:sz w:val="17"/>
                <w:szCs w:val="17"/>
              </w:rPr>
            </w:pPr>
            <w:r w:rsidRPr="001B302F">
              <w:rPr>
                <w:color w:val="auto"/>
                <w:sz w:val="17"/>
                <w:szCs w:val="17"/>
              </w:rPr>
              <w:t>Patients with a severe medical condition that poses an immediate risk to their life and/or health</w:t>
            </w:r>
          </w:p>
          <w:p w14:paraId="14536D56" w14:textId="77777777" w:rsidR="001B302F" w:rsidRPr="001B302F" w:rsidRDefault="001B302F" w:rsidP="001B302F">
            <w:pPr>
              <w:spacing w:before="0"/>
              <w:jc w:val="left"/>
              <w:rPr>
                <w:i/>
                <w:color w:val="auto"/>
                <w:sz w:val="17"/>
                <w:szCs w:val="17"/>
              </w:rPr>
            </w:pPr>
            <w:r w:rsidRPr="001B302F">
              <w:rPr>
                <w:i/>
                <w:color w:val="auto"/>
                <w:sz w:val="17"/>
                <w:szCs w:val="17"/>
              </w:rPr>
              <w:t>e.g. acute onset illness and injuries, such as myocardial infarction, or accidents involving severe injuries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5F963051"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1FC8767C"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68762B77" w14:textId="77777777" w:rsidR="001B302F" w:rsidRPr="001B302F" w:rsidRDefault="001B302F" w:rsidP="001B302F">
            <w:pPr>
              <w:spacing w:before="0"/>
              <w:jc w:val="left"/>
              <w:rPr>
                <w:color w:val="auto"/>
                <w:sz w:val="17"/>
                <w:szCs w:val="17"/>
              </w:rPr>
            </w:pPr>
          </w:p>
        </w:tc>
      </w:tr>
      <w:tr w:rsidR="001B302F" w:rsidRPr="001B302F" w14:paraId="748F4552" w14:textId="77777777" w:rsidTr="000250A6">
        <w:tc>
          <w:tcPr>
            <w:tcW w:w="402" w:type="pct"/>
            <w:vMerge w:val="restart"/>
            <w:shd w:val="clear" w:color="auto" w:fill="002395"/>
            <w:textDirection w:val="btLr"/>
            <w:vAlign w:val="center"/>
          </w:tcPr>
          <w:p w14:paraId="5F2B06DE" w14:textId="77777777" w:rsidR="001B302F" w:rsidRPr="001B302F" w:rsidRDefault="001B302F" w:rsidP="001B302F">
            <w:pPr>
              <w:spacing w:before="0"/>
              <w:jc w:val="center"/>
              <w:rPr>
                <w:color w:val="FFFFFF"/>
                <w:sz w:val="18"/>
                <w:szCs w:val="18"/>
              </w:rPr>
            </w:pPr>
            <w:r w:rsidRPr="001B302F">
              <w:rPr>
                <w:color w:val="FFFFFF"/>
                <w:sz w:val="18"/>
                <w:szCs w:val="18"/>
              </w:rPr>
              <w:t>Organisational and legal issues</w:t>
            </w:r>
          </w:p>
        </w:tc>
        <w:tc>
          <w:tcPr>
            <w:tcW w:w="2152" w:type="pct"/>
            <w:tcBorders>
              <w:top w:val="single" w:sz="4" w:space="0" w:color="auto"/>
              <w:bottom w:val="single" w:sz="4" w:space="0" w:color="auto"/>
              <w:right w:val="single" w:sz="4" w:space="0" w:color="auto"/>
            </w:tcBorders>
            <w:shd w:val="clear" w:color="auto" w:fill="F2F2F2"/>
          </w:tcPr>
          <w:p w14:paraId="10B3599A" w14:textId="77777777" w:rsidR="001B302F" w:rsidRPr="001B302F" w:rsidRDefault="001B302F" w:rsidP="001B302F">
            <w:pPr>
              <w:spacing w:before="0"/>
              <w:jc w:val="left"/>
              <w:rPr>
                <w:color w:val="auto"/>
                <w:sz w:val="17"/>
                <w:szCs w:val="17"/>
              </w:rPr>
            </w:pPr>
            <w:r w:rsidRPr="001B302F">
              <w:rPr>
                <w:b/>
                <w:color w:val="auto"/>
                <w:sz w:val="17"/>
                <w:szCs w:val="17"/>
              </w:rPr>
              <w:t>Joint administration</w:t>
            </w:r>
            <w:r w:rsidRPr="001B302F">
              <w:rPr>
                <w:color w:val="auto"/>
                <w:sz w:val="17"/>
                <w:szCs w:val="17"/>
              </w:rPr>
              <w:t xml:space="preserve"> for the cross-border collaboration project</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4B813273"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367946E3"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65A13586" w14:textId="77777777" w:rsidR="001B302F" w:rsidRPr="001B302F" w:rsidRDefault="001B302F" w:rsidP="001B302F">
            <w:pPr>
              <w:spacing w:before="0"/>
              <w:jc w:val="left"/>
              <w:rPr>
                <w:color w:val="auto"/>
                <w:sz w:val="17"/>
                <w:szCs w:val="17"/>
              </w:rPr>
            </w:pPr>
          </w:p>
        </w:tc>
      </w:tr>
      <w:tr w:rsidR="001B302F" w:rsidRPr="001B302F" w14:paraId="7FBB008C" w14:textId="77777777" w:rsidTr="000250A6">
        <w:tc>
          <w:tcPr>
            <w:tcW w:w="402" w:type="pct"/>
            <w:vMerge/>
            <w:shd w:val="clear" w:color="auto" w:fill="002395"/>
          </w:tcPr>
          <w:p w14:paraId="37634D5B"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779B6B8E" w14:textId="77777777" w:rsidR="001B302F" w:rsidRPr="001B302F" w:rsidRDefault="001B302F" w:rsidP="001B302F">
            <w:pPr>
              <w:spacing w:before="0"/>
              <w:jc w:val="left"/>
              <w:rPr>
                <w:color w:val="auto"/>
                <w:sz w:val="17"/>
                <w:szCs w:val="17"/>
              </w:rPr>
            </w:pPr>
            <w:r w:rsidRPr="001B302F">
              <w:rPr>
                <w:b/>
                <w:color w:val="auto"/>
                <w:sz w:val="17"/>
                <w:szCs w:val="17"/>
              </w:rPr>
              <w:t>Reorganisation</w:t>
            </w:r>
            <w:r w:rsidRPr="001B302F">
              <w:rPr>
                <w:color w:val="auto"/>
                <w:sz w:val="17"/>
                <w:szCs w:val="17"/>
              </w:rPr>
              <w:t xml:space="preserve"> of the partner facilities (structural and strategic)</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207A1C13"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0793D78D"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4DC0FD1C" w14:textId="77777777" w:rsidR="001B302F" w:rsidRPr="001B302F" w:rsidRDefault="001B302F" w:rsidP="001B302F">
            <w:pPr>
              <w:spacing w:before="0"/>
              <w:jc w:val="left"/>
              <w:rPr>
                <w:color w:val="auto"/>
                <w:sz w:val="17"/>
                <w:szCs w:val="17"/>
              </w:rPr>
            </w:pPr>
          </w:p>
        </w:tc>
      </w:tr>
      <w:tr w:rsidR="001B302F" w:rsidRPr="001B302F" w14:paraId="4534DD32" w14:textId="77777777" w:rsidTr="000250A6">
        <w:tc>
          <w:tcPr>
            <w:tcW w:w="402" w:type="pct"/>
            <w:vMerge/>
            <w:shd w:val="clear" w:color="auto" w:fill="002395"/>
          </w:tcPr>
          <w:p w14:paraId="4410F1D8"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591AD664" w14:textId="77777777" w:rsidR="001B302F" w:rsidRPr="001B302F" w:rsidRDefault="001B302F" w:rsidP="001B302F">
            <w:pPr>
              <w:spacing w:before="0"/>
              <w:jc w:val="left"/>
              <w:rPr>
                <w:color w:val="auto"/>
                <w:sz w:val="17"/>
                <w:szCs w:val="17"/>
              </w:rPr>
            </w:pPr>
            <w:r w:rsidRPr="001B302F">
              <w:rPr>
                <w:color w:val="auto"/>
                <w:sz w:val="17"/>
                <w:szCs w:val="17"/>
              </w:rPr>
              <w:t xml:space="preserve">If </w:t>
            </w:r>
            <w:r w:rsidRPr="001B302F">
              <w:rPr>
                <w:b/>
                <w:color w:val="auto"/>
                <w:sz w:val="17"/>
                <w:szCs w:val="17"/>
              </w:rPr>
              <w:t>multilingualism</w:t>
            </w:r>
            <w:r w:rsidRPr="001B302F">
              <w:rPr>
                <w:color w:val="auto"/>
                <w:sz w:val="17"/>
                <w:szCs w:val="17"/>
              </w:rPr>
              <w:t xml:space="preserve"> is an issue, ensuring availability of interpreters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759F9BE2"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072C19FA"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41ED3C73" w14:textId="77777777" w:rsidR="001B302F" w:rsidRPr="001B302F" w:rsidRDefault="001B302F" w:rsidP="001B302F">
            <w:pPr>
              <w:spacing w:before="0"/>
              <w:jc w:val="left"/>
              <w:rPr>
                <w:color w:val="auto"/>
                <w:sz w:val="17"/>
                <w:szCs w:val="17"/>
              </w:rPr>
            </w:pPr>
          </w:p>
        </w:tc>
      </w:tr>
      <w:tr w:rsidR="001B302F" w:rsidRPr="001B302F" w14:paraId="31882EC7" w14:textId="77777777" w:rsidTr="000250A6">
        <w:tc>
          <w:tcPr>
            <w:tcW w:w="402" w:type="pct"/>
            <w:vMerge/>
            <w:shd w:val="clear" w:color="auto" w:fill="002395"/>
          </w:tcPr>
          <w:p w14:paraId="1816A3B4"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3792F061" w14:textId="77777777" w:rsidR="001B302F" w:rsidRPr="001B302F" w:rsidRDefault="001B302F" w:rsidP="001B302F">
            <w:pPr>
              <w:spacing w:before="0"/>
              <w:jc w:val="left"/>
              <w:rPr>
                <w:color w:val="auto"/>
                <w:sz w:val="17"/>
                <w:szCs w:val="17"/>
              </w:rPr>
            </w:pPr>
            <w:r w:rsidRPr="001B302F">
              <w:rPr>
                <w:color w:val="auto"/>
                <w:sz w:val="17"/>
                <w:szCs w:val="17"/>
              </w:rPr>
              <w:t xml:space="preserve">Identifying and addressing </w:t>
            </w:r>
            <w:r w:rsidRPr="001B302F">
              <w:rPr>
                <w:b/>
                <w:color w:val="auto"/>
                <w:sz w:val="17"/>
                <w:szCs w:val="17"/>
              </w:rPr>
              <w:t>legal issues</w:t>
            </w:r>
            <w:r w:rsidRPr="001B302F">
              <w:rPr>
                <w:color w:val="auto"/>
                <w:sz w:val="17"/>
                <w:szCs w:val="17"/>
              </w:rPr>
              <w:t xml:space="preserve"> in advance, especially related to the workforce, financing and reimbursement, cost-sharing etc. </w:t>
            </w:r>
          </w:p>
          <w:p w14:paraId="1B1C97BA" w14:textId="77777777" w:rsidR="001B302F" w:rsidRPr="001B302F" w:rsidRDefault="001B302F" w:rsidP="001B302F">
            <w:pPr>
              <w:numPr>
                <w:ilvl w:val="0"/>
                <w:numId w:val="1"/>
              </w:numPr>
              <w:tabs>
                <w:tab w:val="left" w:pos="357"/>
              </w:tabs>
              <w:spacing w:before="0"/>
              <w:ind w:left="357"/>
              <w:contextualSpacing/>
              <w:rPr>
                <w:sz w:val="17"/>
                <w:szCs w:val="17"/>
              </w:rPr>
            </w:pPr>
            <w:r w:rsidRPr="001B302F">
              <w:rPr>
                <w:sz w:val="17"/>
                <w:szCs w:val="17"/>
              </w:rPr>
              <w:lastRenderedPageBreak/>
              <w:t>Joint agreements and legislation</w:t>
            </w:r>
          </w:p>
          <w:p w14:paraId="32F56FEC" w14:textId="77777777" w:rsidR="001B302F" w:rsidRPr="001B302F" w:rsidRDefault="001B302F" w:rsidP="001B302F">
            <w:pPr>
              <w:tabs>
                <w:tab w:val="left" w:pos="357"/>
              </w:tabs>
              <w:spacing w:before="0"/>
              <w:ind w:left="357"/>
              <w:contextualSpacing/>
              <w:rPr>
                <w:i/>
                <w:sz w:val="17"/>
                <w:szCs w:val="17"/>
              </w:rPr>
            </w:pPr>
            <w:r w:rsidRPr="001B302F">
              <w:rPr>
                <w:i/>
                <w:sz w:val="17"/>
                <w:szCs w:val="17"/>
              </w:rPr>
              <w:t>e.g. for reimbursement and rescue transport service</w:t>
            </w:r>
          </w:p>
          <w:p w14:paraId="0CD370CD" w14:textId="77777777" w:rsidR="001B302F" w:rsidRPr="001B302F" w:rsidRDefault="001B302F" w:rsidP="001B302F">
            <w:pPr>
              <w:numPr>
                <w:ilvl w:val="0"/>
                <w:numId w:val="1"/>
              </w:numPr>
              <w:tabs>
                <w:tab w:val="left" w:pos="357"/>
              </w:tabs>
              <w:spacing w:before="0"/>
              <w:ind w:left="357"/>
              <w:contextualSpacing/>
              <w:rPr>
                <w:sz w:val="17"/>
                <w:szCs w:val="17"/>
              </w:rPr>
            </w:pPr>
            <w:r w:rsidRPr="001B302F">
              <w:rPr>
                <w:sz w:val="17"/>
                <w:szCs w:val="17"/>
              </w:rPr>
              <w:t>Establishing reliable and strong agreements among project partners and stakeholders</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269B2790"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294996E8"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072F02B9" w14:textId="77777777" w:rsidR="001B302F" w:rsidRPr="001B302F" w:rsidRDefault="001B302F" w:rsidP="001B302F">
            <w:pPr>
              <w:spacing w:before="0"/>
              <w:jc w:val="left"/>
              <w:rPr>
                <w:color w:val="auto"/>
                <w:sz w:val="17"/>
                <w:szCs w:val="17"/>
              </w:rPr>
            </w:pPr>
          </w:p>
        </w:tc>
      </w:tr>
      <w:tr w:rsidR="001B302F" w:rsidRPr="001B302F" w14:paraId="1B391005" w14:textId="77777777" w:rsidTr="000250A6">
        <w:tc>
          <w:tcPr>
            <w:tcW w:w="402" w:type="pct"/>
            <w:vMerge/>
            <w:shd w:val="clear" w:color="auto" w:fill="002395"/>
          </w:tcPr>
          <w:p w14:paraId="50774B47" w14:textId="77777777" w:rsidR="001B302F" w:rsidRPr="001B302F" w:rsidRDefault="001B302F" w:rsidP="001B302F">
            <w:pPr>
              <w:spacing w:before="0"/>
              <w:jc w:val="center"/>
              <w:rPr>
                <w:color w:val="FFFFFF"/>
                <w:sz w:val="18"/>
                <w:szCs w:val="18"/>
              </w:rPr>
            </w:pPr>
          </w:p>
        </w:tc>
        <w:tc>
          <w:tcPr>
            <w:tcW w:w="2152" w:type="pct"/>
            <w:tcBorders>
              <w:top w:val="single" w:sz="4" w:space="0" w:color="auto"/>
              <w:bottom w:val="single" w:sz="4" w:space="0" w:color="auto"/>
              <w:right w:val="single" w:sz="4" w:space="0" w:color="auto"/>
            </w:tcBorders>
            <w:shd w:val="clear" w:color="auto" w:fill="F2F2F2"/>
          </w:tcPr>
          <w:p w14:paraId="0B8FCB79" w14:textId="77777777" w:rsidR="001B302F" w:rsidRPr="001B302F" w:rsidRDefault="001B302F" w:rsidP="001B302F">
            <w:pPr>
              <w:numPr>
                <w:ilvl w:val="0"/>
                <w:numId w:val="1"/>
              </w:numPr>
              <w:tabs>
                <w:tab w:val="left" w:pos="357"/>
              </w:tabs>
              <w:spacing w:before="0"/>
              <w:ind w:left="357" w:hanging="357"/>
              <w:contextualSpacing/>
              <w:rPr>
                <w:sz w:val="17"/>
                <w:szCs w:val="17"/>
              </w:rPr>
            </w:pPr>
            <w:r w:rsidRPr="001B302F">
              <w:rPr>
                <w:sz w:val="17"/>
                <w:szCs w:val="17"/>
              </w:rPr>
              <w:t>Gaining political support (regional, national and EU level)</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267D8AEB"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3947286C"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79E682E9" w14:textId="77777777" w:rsidR="001B302F" w:rsidRPr="001B302F" w:rsidRDefault="001B302F" w:rsidP="001B302F">
            <w:pPr>
              <w:spacing w:before="0"/>
              <w:jc w:val="left"/>
              <w:rPr>
                <w:color w:val="auto"/>
                <w:sz w:val="17"/>
                <w:szCs w:val="17"/>
              </w:rPr>
            </w:pPr>
          </w:p>
        </w:tc>
      </w:tr>
      <w:tr w:rsidR="001B302F" w:rsidRPr="001B302F" w14:paraId="72F28967" w14:textId="77777777" w:rsidTr="000250A6">
        <w:tc>
          <w:tcPr>
            <w:tcW w:w="402" w:type="pct"/>
            <w:vMerge w:val="restart"/>
            <w:shd w:val="clear" w:color="auto" w:fill="002395"/>
            <w:textDirection w:val="btLr"/>
            <w:vAlign w:val="center"/>
          </w:tcPr>
          <w:p w14:paraId="77284E87" w14:textId="77777777" w:rsidR="001B302F" w:rsidRPr="001B302F" w:rsidRDefault="001B302F" w:rsidP="001B302F">
            <w:pPr>
              <w:spacing w:before="0"/>
              <w:jc w:val="center"/>
              <w:rPr>
                <w:color w:val="FFFFFF"/>
                <w:sz w:val="18"/>
                <w:szCs w:val="18"/>
              </w:rPr>
            </w:pPr>
            <w:r w:rsidRPr="001B302F">
              <w:rPr>
                <w:color w:val="FFFFFF"/>
                <w:sz w:val="18"/>
                <w:szCs w:val="18"/>
              </w:rPr>
              <w:t>Financing</w:t>
            </w:r>
          </w:p>
        </w:tc>
        <w:tc>
          <w:tcPr>
            <w:tcW w:w="2152" w:type="pct"/>
            <w:tcBorders>
              <w:top w:val="single" w:sz="4" w:space="0" w:color="auto"/>
              <w:bottom w:val="single" w:sz="4" w:space="0" w:color="auto"/>
              <w:right w:val="single" w:sz="4" w:space="0" w:color="auto"/>
            </w:tcBorders>
            <w:shd w:val="clear" w:color="auto" w:fill="F2F2F2"/>
          </w:tcPr>
          <w:p w14:paraId="60599284" w14:textId="77777777" w:rsidR="001B302F" w:rsidRPr="001B302F" w:rsidRDefault="001B302F" w:rsidP="001B302F">
            <w:pPr>
              <w:spacing w:before="0"/>
              <w:jc w:val="left"/>
              <w:rPr>
                <w:color w:val="auto"/>
                <w:sz w:val="17"/>
                <w:szCs w:val="17"/>
              </w:rPr>
            </w:pPr>
            <w:r w:rsidRPr="001B302F">
              <w:rPr>
                <w:b/>
                <w:color w:val="auto"/>
                <w:sz w:val="17"/>
                <w:szCs w:val="17"/>
              </w:rPr>
              <w:t>National funding and/or EU funding</w:t>
            </w:r>
            <w:r w:rsidRPr="001B302F">
              <w:rPr>
                <w:color w:val="auto"/>
                <w:sz w:val="17"/>
                <w:szCs w:val="17"/>
              </w:rPr>
              <w:t xml:space="preserve"> possibilities (provider perspective) </w:t>
            </w:r>
          </w:p>
        </w:tc>
        <w:tc>
          <w:tcPr>
            <w:tcW w:w="295" w:type="pct"/>
            <w:tcBorders>
              <w:top w:val="single" w:sz="4" w:space="0" w:color="auto"/>
              <w:left w:val="single" w:sz="4" w:space="0" w:color="auto"/>
              <w:bottom w:val="single" w:sz="4" w:space="0" w:color="auto"/>
              <w:right w:val="single" w:sz="4" w:space="0" w:color="auto"/>
            </w:tcBorders>
            <w:shd w:val="clear" w:color="auto" w:fill="F2F2F2"/>
          </w:tcPr>
          <w:p w14:paraId="6756CD5C"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bottom w:val="single" w:sz="4" w:space="0" w:color="auto"/>
              <w:right w:val="single" w:sz="4" w:space="0" w:color="auto"/>
            </w:tcBorders>
            <w:shd w:val="clear" w:color="auto" w:fill="F2F2F2"/>
          </w:tcPr>
          <w:p w14:paraId="0811227C"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bottom w:val="single" w:sz="4" w:space="0" w:color="auto"/>
            </w:tcBorders>
            <w:shd w:val="clear" w:color="auto" w:fill="F2F2F2"/>
          </w:tcPr>
          <w:p w14:paraId="14649D48" w14:textId="77777777" w:rsidR="001B302F" w:rsidRPr="001B302F" w:rsidRDefault="001B302F" w:rsidP="001B302F">
            <w:pPr>
              <w:spacing w:before="0"/>
              <w:jc w:val="left"/>
              <w:rPr>
                <w:color w:val="auto"/>
                <w:sz w:val="17"/>
                <w:szCs w:val="17"/>
              </w:rPr>
            </w:pPr>
          </w:p>
        </w:tc>
      </w:tr>
      <w:tr w:rsidR="001B302F" w:rsidRPr="001B302F" w14:paraId="4DB06B26" w14:textId="77777777" w:rsidTr="000250A6">
        <w:tc>
          <w:tcPr>
            <w:tcW w:w="402" w:type="pct"/>
            <w:vMerge/>
            <w:shd w:val="clear" w:color="auto" w:fill="002395"/>
          </w:tcPr>
          <w:p w14:paraId="5D8E21BD" w14:textId="77777777" w:rsidR="001B302F" w:rsidRPr="001B302F" w:rsidRDefault="001B302F" w:rsidP="001B302F">
            <w:pPr>
              <w:rPr>
                <w:sz w:val="18"/>
                <w:szCs w:val="18"/>
              </w:rPr>
            </w:pPr>
          </w:p>
        </w:tc>
        <w:tc>
          <w:tcPr>
            <w:tcW w:w="2152" w:type="pct"/>
            <w:tcBorders>
              <w:top w:val="single" w:sz="4" w:space="0" w:color="auto"/>
              <w:right w:val="single" w:sz="4" w:space="0" w:color="auto"/>
            </w:tcBorders>
            <w:shd w:val="clear" w:color="auto" w:fill="F2F2F2"/>
          </w:tcPr>
          <w:p w14:paraId="30B12A1A" w14:textId="77777777" w:rsidR="001B302F" w:rsidRPr="001B302F" w:rsidRDefault="001B302F" w:rsidP="001B302F">
            <w:pPr>
              <w:spacing w:before="0"/>
              <w:jc w:val="left"/>
              <w:rPr>
                <w:color w:val="auto"/>
                <w:sz w:val="17"/>
                <w:szCs w:val="17"/>
              </w:rPr>
            </w:pPr>
            <w:r w:rsidRPr="001B302F">
              <w:rPr>
                <w:b/>
                <w:color w:val="auto"/>
                <w:sz w:val="17"/>
                <w:szCs w:val="17"/>
              </w:rPr>
              <w:t>Health insurance</w:t>
            </w:r>
            <w:r w:rsidRPr="001B302F">
              <w:rPr>
                <w:color w:val="auto"/>
                <w:sz w:val="17"/>
                <w:szCs w:val="17"/>
              </w:rPr>
              <w:t xml:space="preserve"> funds reimburse medical costs (patient perspective) </w:t>
            </w:r>
          </w:p>
        </w:tc>
        <w:tc>
          <w:tcPr>
            <w:tcW w:w="295" w:type="pct"/>
            <w:tcBorders>
              <w:top w:val="single" w:sz="4" w:space="0" w:color="auto"/>
              <w:left w:val="single" w:sz="4" w:space="0" w:color="auto"/>
              <w:right w:val="single" w:sz="4" w:space="0" w:color="auto"/>
            </w:tcBorders>
            <w:shd w:val="clear" w:color="auto" w:fill="F2F2F2"/>
          </w:tcPr>
          <w:p w14:paraId="17A8E424" w14:textId="77777777" w:rsidR="001B302F" w:rsidRPr="001B302F" w:rsidRDefault="001B302F" w:rsidP="001B302F">
            <w:pPr>
              <w:spacing w:before="0"/>
              <w:jc w:val="left"/>
              <w:rPr>
                <w:color w:val="auto"/>
                <w:sz w:val="17"/>
                <w:szCs w:val="17"/>
              </w:rPr>
            </w:pPr>
          </w:p>
        </w:tc>
        <w:tc>
          <w:tcPr>
            <w:tcW w:w="346" w:type="pct"/>
            <w:tcBorders>
              <w:top w:val="single" w:sz="4" w:space="0" w:color="auto"/>
              <w:left w:val="single" w:sz="4" w:space="0" w:color="auto"/>
              <w:right w:val="single" w:sz="4" w:space="0" w:color="auto"/>
            </w:tcBorders>
            <w:shd w:val="clear" w:color="auto" w:fill="F2F2F2"/>
          </w:tcPr>
          <w:p w14:paraId="4544F180" w14:textId="77777777" w:rsidR="001B302F" w:rsidRPr="001B302F" w:rsidRDefault="001B302F" w:rsidP="001B302F">
            <w:pPr>
              <w:spacing w:before="0"/>
              <w:jc w:val="left"/>
              <w:rPr>
                <w:color w:val="auto"/>
                <w:sz w:val="17"/>
                <w:szCs w:val="17"/>
              </w:rPr>
            </w:pPr>
          </w:p>
        </w:tc>
        <w:tc>
          <w:tcPr>
            <w:tcW w:w="1805" w:type="pct"/>
            <w:tcBorders>
              <w:top w:val="single" w:sz="4" w:space="0" w:color="auto"/>
              <w:left w:val="single" w:sz="4" w:space="0" w:color="auto"/>
            </w:tcBorders>
            <w:shd w:val="clear" w:color="auto" w:fill="F2F2F2"/>
          </w:tcPr>
          <w:p w14:paraId="00F18CBA" w14:textId="77777777" w:rsidR="001B302F" w:rsidRPr="001B302F" w:rsidRDefault="001B302F" w:rsidP="001B302F">
            <w:pPr>
              <w:spacing w:before="0"/>
              <w:jc w:val="left"/>
              <w:rPr>
                <w:color w:val="auto"/>
                <w:sz w:val="17"/>
                <w:szCs w:val="17"/>
              </w:rPr>
            </w:pPr>
          </w:p>
        </w:tc>
      </w:tr>
    </w:tbl>
    <w:p w14:paraId="040B77C3" w14:textId="77777777" w:rsidR="001B302F" w:rsidRPr="001B302F" w:rsidRDefault="001B302F" w:rsidP="001B302F">
      <w:pPr>
        <w:keepLines/>
        <w:tabs>
          <w:tab w:val="left" w:pos="350"/>
          <w:tab w:val="right" w:pos="9071"/>
        </w:tabs>
        <w:suppressAutoHyphens/>
        <w:spacing w:before="120" w:after="120"/>
        <w:jc w:val="right"/>
        <w:rPr>
          <w:rFonts w:cs="Calibri"/>
          <w:bCs/>
          <w:sz w:val="16"/>
          <w:szCs w:val="14"/>
          <w:lang w:eastAsia="en-GB" w:bidi="ar-SA"/>
        </w:rPr>
      </w:pPr>
      <w:r w:rsidRPr="001B302F">
        <w:rPr>
          <w:rFonts w:cs="Calibri"/>
          <w:bCs/>
          <w:sz w:val="16"/>
          <w:szCs w:val="14"/>
          <w:lang w:eastAsia="en-GB" w:bidi="ar-SA"/>
        </w:rPr>
        <w:t>Source: GOE FP</w:t>
      </w:r>
    </w:p>
    <w:p w14:paraId="3B955E44" w14:textId="77777777" w:rsidR="00FB4C38" w:rsidRDefault="00FB4C38" w:rsidP="000B67E5"/>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6A10D023"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03C581B5">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bookmarkStart w:id="21" w:name="_GoBack"/>
      <w:bookmarkEnd w:id="21"/>
    </w:p>
    <w:p w14:paraId="0A1F5A65" w14:textId="56458078" w:rsidR="000B67E5" w:rsidRDefault="000250A6"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10CC0F33">
            <wp:simplePos x="0" y="0"/>
            <wp:positionH relativeFrom="page">
              <wp:posOffset>7890510</wp:posOffset>
            </wp:positionH>
            <wp:positionV relativeFrom="paragraph">
              <wp:posOffset>73025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92046B6"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4424D317" w:rsidR="000B67E5" w:rsidRPr="000B67E5"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02B8A76E">
            <wp:simplePos x="0" y="0"/>
            <wp:positionH relativeFrom="column">
              <wp:posOffset>7257415</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sectPr w:rsidR="000B67E5" w:rsidRPr="000B67E5" w:rsidSect="000250A6">
      <w:headerReference w:type="default" r:id="rId10"/>
      <w:footerReference w:type="default" r:id="rId11"/>
      <w:type w:val="nextColumn"/>
      <w:pgSz w:w="16840" w:h="11907" w:orient="landscape" w:code="9"/>
      <w:pgMar w:top="1418" w:right="1418" w:bottom="1418"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0250A6" w:rsidRPr="000250A6">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250A6"/>
    <w:rsid w:val="000B67E5"/>
    <w:rsid w:val="00120EFB"/>
    <w:rsid w:val="001B302F"/>
    <w:rsid w:val="001E5E2D"/>
    <w:rsid w:val="0020460D"/>
    <w:rsid w:val="00483CDC"/>
    <w:rsid w:val="005C4259"/>
    <w:rsid w:val="00662D70"/>
    <w:rsid w:val="006F2DD8"/>
    <w:rsid w:val="00712F35"/>
    <w:rsid w:val="00BC0A62"/>
    <w:rsid w:val="00CC634B"/>
    <w:rsid w:val="00EC605D"/>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4</cp:revision>
  <dcterms:created xsi:type="dcterms:W3CDTF">2018-03-19T10:46:00Z</dcterms:created>
  <dcterms:modified xsi:type="dcterms:W3CDTF">2018-03-21T12:31:00Z</dcterms:modified>
</cp:coreProperties>
</file>